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3810</wp:posOffset>
                </wp:positionH>
                <wp:positionV relativeFrom="page">
                  <wp:posOffset>1854200</wp:posOffset>
                </wp:positionV>
                <wp:extent cx="7565390" cy="1562100"/>
                <wp:effectExtent l="3810" t="0" r="3175" b="3175"/>
                <wp:wrapTopAndBottom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89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ПРАВИТЕЛЬСТВО  ЕВРЕЙСКОЙ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АВТОНОМНОЙ  ОБЛАСТИ</w:t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 xml:space="preserve">ПОСТАНОВЛЕНИЕ</w:t>
                            </w:r>
                            <w:r/>
                          </w:p>
                          <w:p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r>
                            <w:r/>
                          </w:p>
                          <w:p>
                            <w:pPr>
                              <w:spacing w:before="20"/>
                              <w:tabs>
                                <w:tab w:val="left" w:pos="13467" w:leader="none"/>
                              </w:tabs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_____________________                                                                                              № _________</w:t>
                            </w:r>
                            <w:r/>
                          </w:p>
                          <w:p>
                            <w:pPr>
                              <w:jc w:val="center"/>
                              <w:spacing w:before="20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г. Биробиджан</w:t>
                            </w:r>
                            <w:r/>
                          </w:p>
                          <w:p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                                    ¬</w:t>
                            </w:r>
                            <w:r/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0288;o:allowoverlap:true;o:allowincell:true;mso-position-horizontal-relative:page;margin-left:0.3pt;mso-position-horizontal:absolute;mso-position-vertical-relative:page;margin-top:146.0pt;mso-position-vertical:absolute;width:595.7pt;height:123.0pt;mso-wrap-distance-left:9.0pt;mso-wrap-distance-top:0.0pt;mso-wrap-distance-right:9.0pt;mso-wrap-distance-bottom:0.0pt;v-text-anchor:top;visibility:visible;" fillcolor="#FFFFFF" stroked="f">
                <w10:wrap type="topAndBottom"/>
                <v:textbox inset="0,0,0,0">
                  <w:txbxContent>
                    <w:p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ПРАВИТЕЛЬСТВО  ЕВРЕЙСКОЙ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АВТОНОМНОЙ  ОБЛАСТИ</w:t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 xml:space="preserve">ПОСТАНОВЛЕНИЕ</w:t>
                      </w:r>
                      <w:r/>
                    </w:p>
                    <w:p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r>
                      <w:r/>
                    </w:p>
                    <w:p>
                      <w:pPr>
                        <w:spacing w:before="20"/>
                        <w:tabs>
                          <w:tab w:val="left" w:pos="13467" w:leader="none"/>
                        </w:tabs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_____________________                                                                                              № _________</w:t>
                      </w:r>
                      <w:r/>
                    </w:p>
                    <w:p>
                      <w:pPr>
                        <w:jc w:val="center"/>
                        <w:spacing w:before="20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г. Биробиджан</w:t>
                      </w:r>
                      <w:r/>
                    </w:p>
                    <w:p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                                    ¬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page;margin-left:473.2pt;mso-position-horizontal:absolute;mso-position-vertical-relative:page;margin-top:36.5pt;mso-position-vertical:absolute;width:77.0pt;height:24.4pt;mso-wrap-distance-left:9.0pt;mso-wrap-distance-top:0.0pt;mso-wrap-distance-right:9.0pt;mso-wrap-distance-bottom:0.0pt;v-text-anchor:top;visibility:visible;" fillcolor="#FFFFFF" stroked="f">
                <w10:wrap type="topAndBottom"/>
                <v:textbox inset="0,0,0,0">
                  <w:txbxContent>
                    <w:p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 w:eastAsia="Calibri"/>
          <w:sz w:val="28"/>
          <w:szCs w:val="28"/>
          <w:highlight w:val="yellow"/>
        </w:rPr>
      </w:pP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Об 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утверждении Перечня документов, подтверждающих наличие дополнительных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оснований признания безн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адежной к взысканию задолженности по региональным налогам</w:t>
      </w:r>
      <w:r/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highlight w:val="yellow"/>
        </w:rPr>
        <w:outlineLvl w:val="0"/>
      </w:pPr>
      <w:r>
        <w:rPr>
          <w:rFonts w:ascii="Times New Roman" w:hAnsi="Times New Roman" w:eastAsia="Calibri"/>
          <w:sz w:val="28"/>
          <w:szCs w:val="28"/>
          <w:highlight w:val="yellow"/>
        </w:rPr>
      </w:r>
      <w:r/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</w:rPr>
        <w:outlineLvl w:val="0"/>
      </w:pP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статей 3 закона Еврейской автономной области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29.06.2011 № 954-ОЗ «Об установлении дополнительных оснований признания безнадежной к взысканию задолженности по региональным налогам»</w:t>
      </w:r>
      <w:r/>
    </w:p>
    <w:p>
      <w:pPr>
        <w:jc w:val="both"/>
        <w:tabs>
          <w:tab w:val="left" w:pos="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ПОСТАНОВЛЯЕТ:</w:t>
      </w:r>
      <w:r/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highlight w:val="none"/>
          <w:lang w:eastAsia="en-US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 Утвердить прилагаемый Перечень документов, </w:t>
      </w:r>
      <w:r>
        <w:rPr>
          <w:rFonts w:ascii="Times New Roman" w:hAnsi="Times New Roman" w:eastAsia="Calibri"/>
          <w:sz w:val="28"/>
          <w:szCs w:val="28"/>
          <w:highlight w:val="white"/>
          <w:lang w:eastAsia="en-US"/>
        </w:rPr>
        <w:t xml:space="preserve">подтверждающих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наличие оснований для признания безнадежными к взысканию недоимки по региональным налогам.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  <w:t xml:space="preserve">2. Контроль за исполнением настоящего постановления возложить на заместителя председателя правительства Еврейской автономной области по экономической политике. </w:t>
      </w:r>
      <w:r>
        <w:rPr>
          <w:rFonts w:ascii="Times New Roman" w:hAnsi="Times New Roman"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Признать утратившим силу</w:t>
      </w:r>
      <w:r>
        <w:rPr>
          <w:rFonts w:ascii="Times New Roman" w:hAnsi="Times New Roman"/>
          <w:sz w:val="28"/>
          <w:szCs w:val="28"/>
          <w:highlight w:val="white"/>
        </w:rPr>
        <w:t xml:space="preserve"> постановление правительства Еврейской автономной области </w:t>
      </w:r>
      <w:r>
        <w:rPr>
          <w:rFonts w:ascii="Times New Roman" w:hAnsi="Times New Roman"/>
          <w:sz w:val="28"/>
          <w:szCs w:val="28"/>
          <w:highlight w:val="white"/>
        </w:rPr>
        <w:t xml:space="preserve">от 06.12.2011 № 606 «Об утве</w:t>
      </w:r>
      <w:r>
        <w:rPr>
          <w:rFonts w:ascii="Times New Roman" w:hAnsi="Times New Roman"/>
          <w:sz w:val="28"/>
          <w:szCs w:val="28"/>
          <w:highlight w:val="white"/>
        </w:rPr>
        <w:t xml:space="preserve">рждении перечня </w:t>
      </w:r>
      <w:r>
        <w:rPr>
          <w:rFonts w:ascii="Times New Roman" w:hAnsi="Times New Roman"/>
          <w:sz w:val="28"/>
          <w:szCs w:val="28"/>
          <w:highlight w:val="white"/>
        </w:rPr>
        <w:t xml:space="preserve">документов,подтверждающих</w:t>
      </w:r>
      <w:r>
        <w:rPr>
          <w:rFonts w:ascii="Times New Roman" w:hAnsi="Times New Roman"/>
          <w:sz w:val="28"/>
          <w:szCs w:val="28"/>
          <w:highlight w:val="white"/>
        </w:rPr>
        <w:t xml:space="preserve"> наличие оснований для признания безнадежными к взысканию недоимки по региональным н</w:t>
      </w:r>
      <w:r>
        <w:rPr>
          <w:rFonts w:ascii="Times New Roman" w:hAnsi="Times New Roman"/>
          <w:sz w:val="28"/>
          <w:szCs w:val="28"/>
        </w:rPr>
        <w:t xml:space="preserve">алогам и задолженности по пеням и штрафам по этим налогам».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после дня его официального оп</w:t>
      </w:r>
      <w:r>
        <w:rPr>
          <w:rFonts w:ascii="Times New Roman" w:hAnsi="Times New Roman"/>
          <w:sz w:val="28"/>
          <w:szCs w:val="28"/>
        </w:rPr>
        <w:t xml:space="preserve">убликования.</w:t>
      </w:r>
      <w:r/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rPr>
          <w:rFonts w:ascii="Times New Roman" w:hAnsi="Times New Roman" w:eastAsia="Calibri"/>
          <w:sz w:val="28"/>
          <w:szCs w:val="28"/>
          <w:lang w:eastAsia="en-U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Губернатор области</w:t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  <w:t xml:space="preserve">             Р.Э. Гольдштейн</w:t>
      </w:r>
      <w:r/>
    </w:p>
    <w:p>
      <w:pPr>
        <w:ind w:firstLine="5387"/>
        <w:spacing w:after="200" w:line="276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УТВЕРЖДЕН</w:t>
      </w:r>
      <w:r/>
    </w:p>
    <w:p>
      <w:pPr>
        <w:ind w:left="5387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Постановлением правительства Еврейской автономной области</w:t>
      </w:r>
      <w:r/>
    </w:p>
    <w:p>
      <w:pPr>
        <w:ind w:left="5387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от _____________ № __________</w:t>
      </w:r>
      <w:r/>
    </w:p>
    <w:p>
      <w:pPr>
        <w:ind w:left="5387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jc w:val="center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  <w:t xml:space="preserve">Перечень</w:t>
      </w:r>
      <w:r/>
    </w:p>
    <w:p>
      <w:pPr>
        <w:jc w:val="center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  <w:t xml:space="preserve">документов,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/>
          <w:b/>
          <w:bCs/>
          <w:sz w:val="28"/>
          <w:szCs w:val="28"/>
          <w:highlight w:val="white"/>
          <w:lang w:eastAsia="en-US"/>
        </w:rPr>
        <w:t xml:space="preserve">подтверждающих </w:t>
      </w: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  <w:t xml:space="preserve">наличие оснований для признания безнадежными к взысканию недоимки по региональным налогам</w:t>
      </w: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</w:r>
      <w:r>
        <w:rPr>
          <w:b/>
          <w:bCs/>
        </w:rPr>
      </w:r>
    </w:p>
    <w:p>
      <w:pPr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/>
    </w:p>
    <w:p>
      <w:pPr>
        <w:pStyle w:val="9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Задолженность по транспортному налогу у физического лица, не являющегося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м предпринимателем (далее - задолженность) признается безнадежной к взысканию в случаях:</w:t>
      </w:r>
      <w:r/>
    </w:p>
    <w:p>
      <w:pPr>
        <w:pStyle w:val="940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наличии недоимки, с момента образования которой прошло более трех лет, - справки налогового органа по месту учета физического лица о сумме задолженности и сроках</w:t>
      </w:r>
      <w:r>
        <w:rPr>
          <w:rFonts w:ascii="Times New Roman" w:hAnsi="Times New Roman" w:cs="Times New Roman"/>
          <w:sz w:val="28"/>
          <w:szCs w:val="28"/>
        </w:rPr>
        <w:t xml:space="preserve"> ее образования;</w:t>
      </w:r>
      <w:r/>
    </w:p>
    <w:p>
      <w:pPr>
        <w:pStyle w:val="940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наличии задолженности в отношении транспортного средства, находившегося в собственности физического лица, с даты снятия с учета которого прошло более трех лет, - справки о снятии объекта налогообложения с учета, выданной органом, осу</w:t>
      </w:r>
      <w:r>
        <w:rPr>
          <w:rFonts w:ascii="Times New Roman" w:hAnsi="Times New Roman" w:cs="Times New Roman"/>
          <w:sz w:val="28"/>
          <w:szCs w:val="28"/>
        </w:rPr>
        <w:t xml:space="preserve">ществляющим регистрацию объектов налогообложения, и справки налогового органа по месту учета физического лица о сумме задолженности;</w:t>
      </w:r>
      <w:r/>
    </w:p>
    <w:p>
      <w:pPr>
        <w:pStyle w:val="940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наличии задолженности по уплате пени, штрафа по транспортному налогу, с даты образования которой прошло более трех ле</w:t>
      </w:r>
      <w:r>
        <w:rPr>
          <w:rFonts w:ascii="Times New Roman" w:hAnsi="Times New Roman" w:cs="Times New Roman"/>
          <w:sz w:val="28"/>
          <w:szCs w:val="28"/>
        </w:rPr>
        <w:t xml:space="preserve">т, при отсутствии задолженности по уплате налога - справки налогового органа по месту учета физического лица о сумме задолженности по уплате пени, штрафа по транспортному налогу и сроках ее образования;</w:t>
      </w:r>
      <w:r/>
    </w:p>
    <w:p>
      <w:pPr>
        <w:pStyle w:val="940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наличии задолженности, принудительное взыскание</w:t>
      </w:r>
      <w:r>
        <w:rPr>
          <w:rFonts w:ascii="Times New Roman" w:hAnsi="Times New Roman" w:cs="Times New Roman"/>
          <w:sz w:val="28"/>
          <w:szCs w:val="28"/>
        </w:rPr>
        <w:t xml:space="preserve"> которой невозможно на основании решения об окончании исполнительного производства по основаниям, установленным в </w:t>
      </w:r>
      <w:hyperlink r:id="rId12" w:tooltip="https://login.consultant.ru/link/?req=doc&amp;base=LAW&amp;n=454126&amp;dst=10034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пунктах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https://login.consultant.ru/link/?req=doc&amp;base=LAW&amp;n=454126&amp;dst=10034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4 части 1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N 229-Ф</w:t>
      </w:r>
      <w:r>
        <w:rPr>
          <w:rFonts w:ascii="Times New Roman" w:hAnsi="Times New Roman" w:cs="Times New Roman"/>
          <w:sz w:val="28"/>
          <w:szCs w:val="28"/>
        </w:rPr>
        <w:t xml:space="preserve">З "Об исполнительном производстве", - копии решения об окончании исполнительного производства по основаниям, установленным в </w:t>
      </w:r>
      <w:hyperlink r:id="rId14" w:tooltip="https://login.consultant.ru/link/?req=doc&amp;base=LAW&amp;n=454126&amp;dst=10034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пунктах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https://login.consultant.ru/link/?req=doc&amp;base=LAW&amp;n=454126&amp;dst=10034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4 части 1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N 229-ФЗ "Об исполнительном производстве", и справки налогового органа по месту учета физического лица о сумме задолженности, возникшей в отношении объекта налогообложения.</w:t>
      </w:r>
      <w:r/>
    </w:p>
    <w:p>
      <w:pPr>
        <w:ind w:firstLine="709"/>
        <w:jc w:val="both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10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33900623"/>
      <w:docPartObj>
        <w:docPartGallery w:val="Page Numbers (Top of Page)"/>
        <w:docPartUnique w:val="true"/>
      </w:docPartObj>
      <w:rPr/>
    </w:sdtPr>
    <w:sdtContent>
      <w:p>
        <w:pPr>
          <w:pStyle w:val="935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 xml:space="preserve">8</w:t>
        </w:r>
        <w:r>
          <w:rPr>
            <w:rFonts w:ascii="Times New Roman" w:hAnsi="Times New Roman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45082610"/>
      <w:docPartObj>
        <w:docPartGallery w:val="Page Numbers (Top of Page)"/>
        <w:docPartUnique w:val="true"/>
      </w:docPartObj>
      <w:rPr/>
    </w:sdtPr>
    <w:sdtContent>
      <w:p>
        <w:pPr>
          <w:pStyle w:val="935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 xml:space="preserve">8</w:t>
        </w:r>
        <w:r>
          <w:rPr>
            <w:rFonts w:ascii="Times New Roman" w:hAnsi="Times New Roman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66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3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0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7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4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2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9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64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0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42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14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86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8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0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2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4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461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0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23"/>
  </w:num>
  <w:num w:numId="7">
    <w:abstractNumId w:val="4"/>
  </w:num>
  <w:num w:numId="8">
    <w:abstractNumId w:val="8"/>
  </w:num>
  <w:num w:numId="9">
    <w:abstractNumId w:val="14"/>
  </w:num>
  <w:num w:numId="10">
    <w:abstractNumId w:val="2"/>
  </w:num>
  <w:num w:numId="11">
    <w:abstractNumId w:val="22"/>
  </w:num>
  <w:num w:numId="12">
    <w:abstractNumId w:val="7"/>
  </w:num>
  <w:num w:numId="13">
    <w:abstractNumId w:val="12"/>
  </w:num>
  <w:num w:numId="14">
    <w:abstractNumId w:val="3"/>
  </w:num>
  <w:num w:numId="15">
    <w:abstractNumId w:val="5"/>
  </w:num>
  <w:num w:numId="16">
    <w:abstractNumId w:val="17"/>
  </w:num>
  <w:num w:numId="17">
    <w:abstractNumId w:val="10"/>
  </w:num>
  <w:num w:numId="18">
    <w:abstractNumId w:val="11"/>
  </w:num>
  <w:num w:numId="19">
    <w:abstractNumId w:val="18"/>
  </w:num>
  <w:num w:numId="20">
    <w:abstractNumId w:val="19"/>
  </w:num>
  <w:num w:numId="21">
    <w:abstractNumId w:val="1"/>
  </w:num>
  <w:num w:numId="22">
    <w:abstractNumId w:val="16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 w:default="1">
    <w:name w:val="Normal"/>
    <w:qFormat/>
    <w:pPr>
      <w:spacing w:after="0" w:line="240" w:lineRule="auto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723">
    <w:name w:val="Heading 1"/>
    <w:basedOn w:val="722"/>
    <w:next w:val="722"/>
    <w:link w:val="7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4">
    <w:name w:val="Heading 2"/>
    <w:basedOn w:val="722"/>
    <w:next w:val="722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5">
    <w:name w:val="Heading 3"/>
    <w:basedOn w:val="722"/>
    <w:next w:val="722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8">
    <w:name w:val="Heading 6"/>
    <w:basedOn w:val="722"/>
    <w:next w:val="722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722"/>
    <w:next w:val="722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722"/>
    <w:next w:val="722"/>
    <w:link w:val="7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722"/>
    <w:next w:val="722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table" w:styleId="735">
    <w:name w:val="Plain Table 1"/>
    <w:basedOn w:val="7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3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2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3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4" w:customStyle="1">
    <w:name w:val="Heading 1 Char"/>
    <w:basedOn w:val="732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Heading 2 Char"/>
    <w:basedOn w:val="732"/>
    <w:uiPriority w:val="9"/>
    <w:rPr>
      <w:rFonts w:ascii="Arial" w:hAnsi="Arial" w:eastAsia="Arial" w:cs="Arial"/>
      <w:sz w:val="34"/>
    </w:rPr>
  </w:style>
  <w:style w:type="character" w:styleId="756" w:customStyle="1">
    <w:name w:val="Heading 3 Char"/>
    <w:basedOn w:val="732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Heading 4 Char"/>
    <w:basedOn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Heading 5 Char"/>
    <w:basedOn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Heading 6 Char"/>
    <w:basedOn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Heading 7 Char"/>
    <w:basedOn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Heading 8 Char"/>
    <w:basedOn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Heading 9 Char"/>
    <w:basedOn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63" w:customStyle="1">
    <w:name w:val="Title Char"/>
    <w:basedOn w:val="732"/>
    <w:uiPriority w:val="10"/>
    <w:rPr>
      <w:sz w:val="48"/>
      <w:szCs w:val="48"/>
    </w:rPr>
  </w:style>
  <w:style w:type="character" w:styleId="764" w:customStyle="1">
    <w:name w:val="Subtitle Char"/>
    <w:basedOn w:val="732"/>
    <w:uiPriority w:val="11"/>
    <w:rPr>
      <w:sz w:val="24"/>
      <w:szCs w:val="24"/>
    </w:rPr>
  </w:style>
  <w:style w:type="character" w:styleId="765" w:customStyle="1">
    <w:name w:val="Quote Char"/>
    <w:uiPriority w:val="29"/>
    <w:rPr>
      <w:i/>
    </w:rPr>
  </w:style>
  <w:style w:type="character" w:styleId="766" w:customStyle="1">
    <w:name w:val="Intense Quote Char"/>
    <w:uiPriority w:val="30"/>
    <w:rPr>
      <w:i/>
    </w:rPr>
  </w:style>
  <w:style w:type="character" w:styleId="767" w:customStyle="1">
    <w:name w:val="Footnote Text Char"/>
    <w:uiPriority w:val="99"/>
    <w:rPr>
      <w:sz w:val="18"/>
    </w:rPr>
  </w:style>
  <w:style w:type="character" w:styleId="768" w:customStyle="1">
    <w:name w:val="Endnote Text Char"/>
    <w:uiPriority w:val="99"/>
    <w:rPr>
      <w:sz w:val="20"/>
    </w:rPr>
  </w:style>
  <w:style w:type="character" w:styleId="769" w:customStyle="1">
    <w:name w:val="Заголовок 1 Знак"/>
    <w:basedOn w:val="732"/>
    <w:link w:val="723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Заголовок 2 Знак"/>
    <w:basedOn w:val="732"/>
    <w:link w:val="724"/>
    <w:uiPriority w:val="9"/>
    <w:rPr>
      <w:rFonts w:ascii="Arial" w:hAnsi="Arial" w:eastAsia="Arial" w:cs="Arial"/>
      <w:sz w:val="34"/>
    </w:rPr>
  </w:style>
  <w:style w:type="character" w:styleId="771" w:customStyle="1">
    <w:name w:val="Заголовок 3 Знак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Заголовок 4 Знак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Заголовок 5 Знак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Заголовок 6 Знак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Заголовок 7 Знак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Заголовок 8 Знак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Заголовок 9 Знак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No Spacing"/>
    <w:uiPriority w:val="1"/>
    <w:qFormat/>
    <w:pPr>
      <w:spacing w:after="0" w:line="240" w:lineRule="auto"/>
    </w:pPr>
  </w:style>
  <w:style w:type="paragraph" w:styleId="779">
    <w:name w:val="Title"/>
    <w:basedOn w:val="722"/>
    <w:next w:val="722"/>
    <w:link w:val="7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0" w:customStyle="1">
    <w:name w:val="Заголовок Знак"/>
    <w:basedOn w:val="732"/>
    <w:link w:val="779"/>
    <w:uiPriority w:val="10"/>
    <w:rPr>
      <w:sz w:val="48"/>
      <w:szCs w:val="48"/>
    </w:rPr>
  </w:style>
  <w:style w:type="paragraph" w:styleId="781">
    <w:name w:val="Subtitle"/>
    <w:basedOn w:val="722"/>
    <w:next w:val="722"/>
    <w:link w:val="782"/>
    <w:uiPriority w:val="11"/>
    <w:qFormat/>
    <w:pPr>
      <w:spacing w:before="200" w:after="200"/>
    </w:pPr>
  </w:style>
  <w:style w:type="character" w:styleId="782" w:customStyle="1">
    <w:name w:val="Подзаголовок Знак"/>
    <w:basedOn w:val="732"/>
    <w:link w:val="781"/>
    <w:uiPriority w:val="11"/>
    <w:rPr>
      <w:sz w:val="24"/>
      <w:szCs w:val="24"/>
    </w:rPr>
  </w:style>
  <w:style w:type="paragraph" w:styleId="783">
    <w:name w:val="Quote"/>
    <w:basedOn w:val="722"/>
    <w:next w:val="722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22"/>
    <w:next w:val="722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 w:customStyle="1">
    <w:name w:val="Выделенная цитата Знак"/>
    <w:link w:val="785"/>
    <w:uiPriority w:val="30"/>
    <w:rPr>
      <w:i/>
    </w:rPr>
  </w:style>
  <w:style w:type="character" w:styleId="787" w:customStyle="1">
    <w:name w:val="Header Char"/>
    <w:basedOn w:val="732"/>
    <w:uiPriority w:val="99"/>
  </w:style>
  <w:style w:type="character" w:styleId="788" w:customStyle="1">
    <w:name w:val="Footer Char"/>
    <w:basedOn w:val="732"/>
    <w:uiPriority w:val="99"/>
  </w:style>
  <w:style w:type="paragraph" w:styleId="789">
    <w:name w:val="Caption"/>
    <w:basedOn w:val="722"/>
    <w:next w:val="722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90" w:customStyle="1">
    <w:name w:val="Caption Char"/>
    <w:uiPriority w:val="99"/>
  </w:style>
  <w:style w:type="table" w:styleId="791">
    <w:name w:val="Table Grid"/>
    <w:basedOn w:val="7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2" w:customStyle="1">
    <w:name w:val="Table Grid Light"/>
    <w:basedOn w:val="7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3" w:customStyle="1">
    <w:name w:val="Таблица простая 11"/>
    <w:basedOn w:val="7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 w:customStyle="1">
    <w:name w:val="Таблица простая 21"/>
    <w:basedOn w:val="73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 w:customStyle="1">
    <w:name w:val="Таблица простая 31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 w:customStyle="1">
    <w:name w:val="Таблица простая 41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Таблица простая 51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 w:customStyle="1">
    <w:name w:val="Таблица-сетка 1 светл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Таблица-сетка 2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Таблица-сетка 3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Таблица-сетка 41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 w:customStyle="1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21" w:customStyle="1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2" w:customStyle="1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3" w:customStyle="1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4" w:customStyle="1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25" w:customStyle="1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6" w:customStyle="1">
    <w:name w:val="Таблица-сетка 5 тем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3" w:customStyle="1">
    <w:name w:val="Таблица-сетка 6 цвет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4" w:customStyle="1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35" w:customStyle="1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6" w:customStyle="1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7" w:customStyle="1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8" w:customStyle="1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9" w:customStyle="1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40" w:customStyle="1">
    <w:name w:val="Таблица-сетка 7 цвет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Список-таблица 1 светлая1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Список-таблица 2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1" w:customStyle="1">
    <w:name w:val="Список-таблица 3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Список-таблица 4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Список-таблица 5 тем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Список-таблица 6 цвет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3" w:customStyle="1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84" w:customStyle="1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5" w:customStyle="1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6" w:customStyle="1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7" w:customStyle="1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88" w:customStyle="1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9" w:customStyle="1">
    <w:name w:val="Список-таблица 7 цветная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ned - Accent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Lined - Accent 1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98" w:customStyle="1">
    <w:name w:val="Lined - Accent 2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9" w:customStyle="1">
    <w:name w:val="Lined - Accent 3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0" w:customStyle="1">
    <w:name w:val="Lined - Accent 4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1" w:customStyle="1">
    <w:name w:val="Lined - Accent 5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02" w:customStyle="1">
    <w:name w:val="Lined - Accent 6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3" w:customStyle="1">
    <w:name w:val="Bordered &amp; Lined - Accent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4" w:customStyle="1">
    <w:name w:val="Bordered &amp; Lined - Accent 1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05" w:customStyle="1">
    <w:name w:val="Bordered &amp; Lined - Accent 2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6" w:customStyle="1">
    <w:name w:val="Bordered &amp; Lined - Accent 3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7" w:customStyle="1">
    <w:name w:val="Bordered &amp; Lined - Accent 4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8" w:customStyle="1">
    <w:name w:val="Bordered &amp; Lined - Accent 5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09" w:customStyle="1">
    <w:name w:val="Bordered &amp; Lined - Accent 6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0" w:customStyle="1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1" w:customStyle="1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12" w:customStyle="1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3" w:customStyle="1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4" w:customStyle="1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5" w:customStyle="1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16" w:customStyle="1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7">
    <w:name w:val="Hyperlink"/>
    <w:uiPriority w:val="99"/>
    <w:unhideWhenUsed/>
    <w:rPr>
      <w:color w:val="0563c1" w:themeColor="hyperlink"/>
      <w:u w:val="single"/>
    </w:rPr>
  </w:style>
  <w:style w:type="paragraph" w:styleId="918">
    <w:name w:val="footnote text"/>
    <w:basedOn w:val="722"/>
    <w:link w:val="919"/>
    <w:uiPriority w:val="99"/>
    <w:semiHidden/>
    <w:unhideWhenUsed/>
    <w:pPr>
      <w:spacing w:after="40"/>
    </w:pPr>
    <w:rPr>
      <w:sz w:val="18"/>
    </w:rPr>
  </w:style>
  <w:style w:type="character" w:styleId="919" w:customStyle="1">
    <w:name w:val="Текст сноски Знак"/>
    <w:link w:val="918"/>
    <w:uiPriority w:val="99"/>
    <w:rPr>
      <w:sz w:val="18"/>
    </w:rPr>
  </w:style>
  <w:style w:type="character" w:styleId="920">
    <w:name w:val="footnote reference"/>
    <w:basedOn w:val="732"/>
    <w:uiPriority w:val="99"/>
    <w:unhideWhenUsed/>
    <w:rPr>
      <w:vertAlign w:val="superscript"/>
    </w:rPr>
  </w:style>
  <w:style w:type="paragraph" w:styleId="921">
    <w:name w:val="endnote text"/>
    <w:basedOn w:val="722"/>
    <w:link w:val="922"/>
    <w:uiPriority w:val="99"/>
    <w:semiHidden/>
    <w:unhideWhenUsed/>
    <w:rPr>
      <w:sz w:val="20"/>
    </w:rPr>
  </w:style>
  <w:style w:type="character" w:styleId="922" w:customStyle="1">
    <w:name w:val="Текст концевой сноски Знак"/>
    <w:link w:val="921"/>
    <w:uiPriority w:val="99"/>
    <w:rPr>
      <w:sz w:val="20"/>
    </w:rPr>
  </w:style>
  <w:style w:type="character" w:styleId="923">
    <w:name w:val="endnote reference"/>
    <w:basedOn w:val="732"/>
    <w:uiPriority w:val="99"/>
    <w:semiHidden/>
    <w:unhideWhenUsed/>
    <w:rPr>
      <w:vertAlign w:val="superscript"/>
    </w:rPr>
  </w:style>
  <w:style w:type="paragraph" w:styleId="924">
    <w:name w:val="toc 1"/>
    <w:basedOn w:val="722"/>
    <w:next w:val="722"/>
    <w:uiPriority w:val="39"/>
    <w:unhideWhenUsed/>
    <w:pPr>
      <w:spacing w:after="57"/>
    </w:pPr>
  </w:style>
  <w:style w:type="paragraph" w:styleId="925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926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927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928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929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930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931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32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722"/>
    <w:next w:val="722"/>
    <w:uiPriority w:val="99"/>
    <w:unhideWhenUsed/>
  </w:style>
  <w:style w:type="paragraph" w:styleId="935">
    <w:name w:val="Header"/>
    <w:basedOn w:val="722"/>
    <w:link w:val="9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6" w:customStyle="1">
    <w:name w:val="Верхний колонтитул Знак"/>
    <w:basedOn w:val="732"/>
    <w:link w:val="935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37">
    <w:name w:val="Footer"/>
    <w:basedOn w:val="722"/>
    <w:link w:val="9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8" w:customStyle="1">
    <w:name w:val="Нижний колонтитул Знак"/>
    <w:basedOn w:val="732"/>
    <w:link w:val="937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39">
    <w:name w:val="List Paragraph"/>
    <w:basedOn w:val="722"/>
    <w:uiPriority w:val="34"/>
    <w:qFormat/>
    <w:pPr>
      <w:contextualSpacing/>
      <w:ind w:left="720"/>
    </w:pPr>
  </w:style>
  <w:style w:type="paragraph" w:styleId="940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LAW&amp;n=454126&amp;dst=100348" TargetMode="External"/><Relationship Id="rId13" Type="http://schemas.openxmlformats.org/officeDocument/2006/relationships/hyperlink" Target="https://login.consultant.ru/link/?req=doc&amp;base=LAW&amp;n=454126&amp;dst=100349" TargetMode="External"/><Relationship Id="rId14" Type="http://schemas.openxmlformats.org/officeDocument/2006/relationships/hyperlink" Target="https://login.consultant.ru/link/?req=doc&amp;base=LAW&amp;n=454126&amp;dst=100348" TargetMode="External"/><Relationship Id="rId15" Type="http://schemas.openxmlformats.org/officeDocument/2006/relationships/hyperlink" Target="https://login.consultant.ru/link/?req=doc&amp;base=LAW&amp;n=454126&amp;dst=10034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79F7-57C1-4D43-B6B9-02191951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Сабурова Светлана Павловна</dc:creator>
  <cp:revision>35</cp:revision>
  <dcterms:created xsi:type="dcterms:W3CDTF">2023-01-20T02:11:00Z</dcterms:created>
  <dcterms:modified xsi:type="dcterms:W3CDTF">2023-11-30T05:21:23Z</dcterms:modified>
</cp:coreProperties>
</file>